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3F1EC"/>
          </w:tcPr>
          <w:p>
            <w:r>
              <w:rPr>
                <w:b/>
                <w:sz w:val="19"/>
              </w:rPr>
              <w:t>Типовой шаблон — удалите этот блок перед публикацией закупки.</w:t>
            </w:r>
          </w:p>
          <w:p>
            <w:r>
              <w:rPr>
                <w:color w:val="555555"/>
                <w:sz w:val="18"/>
              </w:rPr>
              <w:t>Заполните поля в квадратных скобках [__]. Параметры заданы диапазонами «не менее / не более» — так описание не ограничивает конкуренцию (ст. 33 44-ФЗ). Если указываете товарный знак, добавьте «или эквивалент».</w:t>
            </w:r>
          </w:p>
          <w:p>
            <w:r>
              <w:rPr>
                <w:color w:val="555555"/>
                <w:sz w:val="18"/>
              </w:rPr>
              <w:t>Код ОКПД2 и позицию КТРУ проверьте по классификатору на дату закупки.</w:t>
            </w:r>
          </w:p>
          <w:p>
            <w:r>
              <w:rPr>
                <w:color w:val="555555"/>
                <w:sz w:val="18"/>
              </w:rPr>
              <w:t>Шаблон подготовил производитель конвейеров ТПК «Кронос» (tpkkronos.ru/zakupki/). Поможем заполнить бесплатно и пришлём КП для обоснования НМЦК за 1 рабочий день: +7 (962) 437-81-73, info@tpkkronos.ru.</w:t>
            </w:r>
          </w:p>
        </w:tc>
      </w:tr>
    </w:tbl>
    <w:p/>
    <w:p>
      <w:pPr>
        <w:jc w:val="center"/>
      </w:pPr>
      <w:r>
        <w:rPr>
          <w:b/>
          <w:sz w:val="26"/>
        </w:rPr>
        <w:t>ТЕХНИЧЕСКОЕ ЗАДАНИЕ</w:t>
      </w:r>
    </w:p>
    <w:p>
      <w:pPr>
        <w:jc w:val="center"/>
      </w:pPr>
      <w:r>
        <w:rPr>
          <w:sz w:val="23"/>
        </w:rPr>
        <w:t>на поставку накопительного (поворотного) стола</w:t>
      </w:r>
    </w:p>
    <w:p>
      <w:pPr>
        <w:spacing w:before="200"/>
      </w:pPr>
      <w:r>
        <w:rPr>
          <w:b/>
        </w:rPr>
        <w:t>1. Наименование и количество товара</w:t>
      </w:r>
    </w:p>
    <w:p>
      <w:pPr>
        <w:spacing w:after="60"/>
      </w:pPr>
      <w:r>
        <w:t>1.1. Наименование: Стол накопительный поворотный.</w:t>
      </w:r>
    </w:p>
    <w:p>
      <w:pPr>
        <w:spacing w:after="60"/>
      </w:pPr>
      <w:r>
        <w:t>1.2. Количество: [1] шт.</w:t>
      </w:r>
    </w:p>
    <w:p>
      <w:pPr>
        <w:spacing w:after="60"/>
      </w:pPr>
      <w:r>
        <w:t>1.3. Код ОКПД2: [код ОКПД2 / КТРУ] (проверить по классификатору и КТРУ).</w:t>
      </w:r>
    </w:p>
    <w:p>
      <w:pPr>
        <w:spacing w:before="200"/>
      </w:pPr>
      <w:r>
        <w:rPr>
          <w:b/>
        </w:rPr>
        <w:t>2. Назначение и условия эксплуатации</w:t>
      </w:r>
    </w:p>
    <w:p>
      <w:pPr>
        <w:spacing w:after="60"/>
      </w:pPr>
      <w:r>
        <w:t>2.1. Назначение: транспортирование [наименование груза], масса единицы груза до [__] кг, габариты [__ × __ × __] мм.</w:t>
      </w:r>
    </w:p>
    <w:p>
      <w:pPr>
        <w:spacing w:after="60"/>
      </w:pPr>
      <w:r>
        <w:t>2.2. Условия эксплуатации: [отапливаемое / неотапливаемое] помещение, температура окружающей среды от [+5] до [+40] °C, относительная влажность не более [80] %.</w:t>
      </w:r>
    </w:p>
    <w:p>
      <w:pPr>
        <w:spacing w:after="60"/>
      </w:pPr>
      <w:r>
        <w:t>2.3. Режим работы: [__] смен по [__] ч, [__] дней в неделю.</w:t>
      </w:r>
    </w:p>
    <w:p>
      <w:pPr>
        <w:spacing w:before="200"/>
      </w:pPr>
      <w:r>
        <w:rPr>
          <w:b/>
        </w:rPr>
        <w:t>3. Технические характеристики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37"/>
        <w:gridCol w:w="3515"/>
        <w:gridCol w:w="5386"/>
      </w:tblGrid>
      <w:tr>
        <w:tc>
          <w:tcPr>
            <w:tcW w:type="dxa" w:w="737"/>
            <w:shd w:val="clear" w:color="auto" w:fill="E8E6E1"/>
          </w:tcPr>
          <w:p>
            <w:r/>
            <w:r>
              <w:rPr>
                <w:b/>
              </w:rPr>
              <w:t>№</w:t>
            </w:r>
          </w:p>
        </w:tc>
        <w:tc>
          <w:tcPr>
            <w:tcW w:type="dxa" w:w="3515"/>
            <w:shd w:val="clear" w:color="auto" w:fill="E8E6E1"/>
          </w:tcPr>
          <w:p>
            <w:r/>
            <w:r>
              <w:rPr>
                <w:b/>
              </w:rPr>
              <w:t>Параметр</w:t>
            </w:r>
          </w:p>
        </w:tc>
        <w:tc>
          <w:tcPr>
            <w:tcW w:type="dxa" w:w="5386"/>
            <w:shd w:val="clear" w:color="auto" w:fill="E8E6E1"/>
          </w:tcPr>
          <w:p>
            <w:r/>
            <w:r>
              <w:rPr>
                <w:b/>
              </w:rPr>
              <w:t>Требование</w:t>
            </w:r>
          </w:p>
        </w:tc>
      </w:tr>
      <w:tr>
        <w:tc>
          <w:tcPr>
            <w:tcW w:type="dxa" w:w="737"/>
          </w:tcPr>
          <w:p>
            <w:r>
              <w:t>3.1</w:t>
            </w:r>
          </w:p>
        </w:tc>
        <w:tc>
          <w:tcPr>
            <w:tcW w:type="dxa" w:w="3515"/>
          </w:tcPr>
          <w:p>
            <w:r>
              <w:t>Назначение</w:t>
            </w:r>
          </w:p>
        </w:tc>
        <w:tc>
          <w:tcPr>
            <w:tcW w:type="dxa" w:w="5386"/>
          </w:tcPr>
          <w:p>
            <w:r>
              <w:t>накопление и подача [бутылок / банок / штучной продукции] на линию</w:t>
            </w:r>
          </w:p>
        </w:tc>
      </w:tr>
      <w:tr>
        <w:tc>
          <w:tcPr>
            <w:tcW w:type="dxa" w:w="737"/>
          </w:tcPr>
          <w:p>
            <w:r>
              <w:t>3.2</w:t>
            </w:r>
          </w:p>
        </w:tc>
        <w:tc>
          <w:tcPr>
            <w:tcW w:type="dxa" w:w="3515"/>
          </w:tcPr>
          <w:p>
            <w:r>
              <w:t>Диаметр столешницы, мм</w:t>
            </w:r>
          </w:p>
        </w:tc>
        <w:tc>
          <w:tcPr>
            <w:tcW w:type="dxa" w:w="5386"/>
          </w:tcPr>
          <w:p>
            <w:r>
              <w:t>не менее [__]</w:t>
            </w:r>
          </w:p>
        </w:tc>
      </w:tr>
      <w:tr>
        <w:tc>
          <w:tcPr>
            <w:tcW w:type="dxa" w:w="737"/>
          </w:tcPr>
          <w:p>
            <w:r>
              <w:t>3.3</w:t>
            </w:r>
          </w:p>
        </w:tc>
        <w:tc>
          <w:tcPr>
            <w:tcW w:type="dxa" w:w="3515"/>
          </w:tcPr>
          <w:p>
            <w:r>
              <w:t>Высота рабочей поверхности от пола, мм</w:t>
            </w:r>
          </w:p>
        </w:tc>
        <w:tc>
          <w:tcPr>
            <w:tcW w:type="dxa" w:w="5386"/>
          </w:tcPr>
          <w:p>
            <w:r>
              <w:t>[__] ± [__]</w:t>
            </w:r>
          </w:p>
        </w:tc>
      </w:tr>
      <w:tr>
        <w:tc>
          <w:tcPr>
            <w:tcW w:type="dxa" w:w="737"/>
          </w:tcPr>
          <w:p>
            <w:r>
              <w:t>3.4</w:t>
            </w:r>
          </w:p>
        </w:tc>
        <w:tc>
          <w:tcPr>
            <w:tcW w:type="dxa" w:w="3515"/>
          </w:tcPr>
          <w:p>
            <w:r>
              <w:t>Бортик по краю столешницы, мм</w:t>
            </w:r>
          </w:p>
        </w:tc>
        <w:tc>
          <w:tcPr>
            <w:tcW w:type="dxa" w:w="5386"/>
          </w:tcPr>
          <w:p>
            <w:r>
              <w:t>высотой не менее [__]</w:t>
            </w:r>
          </w:p>
        </w:tc>
      </w:tr>
      <w:tr>
        <w:tc>
          <w:tcPr>
            <w:tcW w:type="dxa" w:w="737"/>
          </w:tcPr>
          <w:p>
            <w:r>
              <w:t>3.5</w:t>
            </w:r>
          </w:p>
        </w:tc>
        <w:tc>
          <w:tcPr>
            <w:tcW w:type="dxa" w:w="3515"/>
          </w:tcPr>
          <w:p>
            <w:r>
              <w:t>Материал столешницы</w:t>
            </w:r>
          </w:p>
        </w:tc>
        <w:tc>
          <w:tcPr>
            <w:tcW w:type="dxa" w:w="5386"/>
          </w:tcPr>
          <w:p>
            <w:r>
              <w:t>нержавеющая сталь AISI 304 или эквивалент</w:t>
            </w:r>
          </w:p>
        </w:tc>
      </w:tr>
      <w:tr>
        <w:tc>
          <w:tcPr>
            <w:tcW w:type="dxa" w:w="737"/>
          </w:tcPr>
          <w:p>
            <w:r>
              <w:t>3.6</w:t>
            </w:r>
          </w:p>
        </w:tc>
        <w:tc>
          <w:tcPr>
            <w:tcW w:type="dxa" w:w="3515"/>
          </w:tcPr>
          <w:p>
            <w:r>
              <w:t>Материал каркаса</w:t>
            </w:r>
          </w:p>
        </w:tc>
        <w:tc>
          <w:tcPr>
            <w:tcW w:type="dxa" w:w="5386"/>
          </w:tcPr>
          <w:p>
            <w:r>
              <w:t>[сталь с полимерным покрытием / нержавеющая сталь]</w:t>
            </w:r>
          </w:p>
        </w:tc>
      </w:tr>
      <w:tr>
        <w:tc>
          <w:tcPr>
            <w:tcW w:type="dxa" w:w="737"/>
          </w:tcPr>
          <w:p>
            <w:r>
              <w:t>3.7</w:t>
            </w:r>
          </w:p>
        </w:tc>
        <w:tc>
          <w:tcPr>
            <w:tcW w:type="dxa" w:w="3515"/>
          </w:tcPr>
          <w:p>
            <w:r>
              <w:t>Привод</w:t>
            </w:r>
          </w:p>
        </w:tc>
        <w:tc>
          <w:tcPr>
            <w:tcW w:type="dxa" w:w="5386"/>
          </w:tcPr>
          <w:p>
            <w:r>
              <w:t>мотор-редуктор с плавной регулировкой скорости вращения; питание [220 В / 380 В], 50 Гц</w:t>
            </w:r>
          </w:p>
        </w:tc>
      </w:tr>
      <w:tr>
        <w:tc>
          <w:tcPr>
            <w:tcW w:type="dxa" w:w="737"/>
          </w:tcPr>
          <w:p>
            <w:r>
              <w:t>3.8</w:t>
            </w:r>
          </w:p>
        </w:tc>
        <w:tc>
          <w:tcPr>
            <w:tcW w:type="dxa" w:w="3515"/>
          </w:tcPr>
          <w:p>
            <w:r>
              <w:t>Направление вращения</w:t>
            </w:r>
          </w:p>
        </w:tc>
        <w:tc>
          <w:tcPr>
            <w:tcW w:type="dxa" w:w="5386"/>
          </w:tcPr>
          <w:p>
            <w:r>
              <w:t>[по часовой стрелке / против / реверс]</w:t>
            </w:r>
          </w:p>
        </w:tc>
      </w:tr>
      <w:tr>
        <w:tc>
          <w:tcPr>
            <w:tcW w:type="dxa" w:w="737"/>
          </w:tcPr>
          <w:p>
            <w:r>
              <w:t>3.9</w:t>
            </w:r>
          </w:p>
        </w:tc>
        <w:tc>
          <w:tcPr>
            <w:tcW w:type="dxa" w:w="3515"/>
          </w:tcPr>
          <w:p>
            <w:r>
              <w:t>Опоры</w:t>
            </w:r>
          </w:p>
        </w:tc>
        <w:tc>
          <w:tcPr>
            <w:tcW w:type="dxa" w:w="5386"/>
          </w:tcPr>
          <w:p>
            <w:r>
              <w:t>регулируемые по высоте</w:t>
            </w:r>
          </w:p>
        </w:tc>
      </w:tr>
    </w:tbl>
    <w:p>
      <w:pPr>
        <w:spacing w:before="200"/>
      </w:pPr>
      <w:r>
        <w:rPr>
          <w:b/>
        </w:rPr>
        <w:t>4. Требования безопасности</w:t>
      </w:r>
    </w:p>
    <w:p>
      <w:pPr>
        <w:spacing w:after="60"/>
      </w:pPr>
      <w:r>
        <w:t>4.1. Конструкция и комплектация соответствуют требованиям ТР ТС 010/2011 «О безопасности машин и оборудования» и ГОСТ 12.2.022-80 «ССБТ. Конвейеры. Общие требования безопасности».</w:t>
      </w:r>
    </w:p>
    <w:p>
      <w:pPr>
        <w:spacing w:after="60"/>
      </w:pPr>
      <w:r>
        <w:t>4.2. Вращающиеся и движущиеся части привода (муфты, цепные и ремённые передачи) закрыты защитными ограждениями.</w:t>
      </w:r>
    </w:p>
    <w:p>
      <w:pPr>
        <w:spacing w:after="60"/>
      </w:pPr>
      <w:r>
        <w:t>4.3. Предусмотрена кнопка аварийного останова в зоне обслуживания; электрооборудование заземлено.</w:t>
      </w:r>
    </w:p>
    <w:p>
      <w:pPr>
        <w:spacing w:before="200"/>
      </w:pPr>
      <w:r>
        <w:rPr>
          <w:b/>
        </w:rPr>
        <w:t>5. Требования к качеству и документации</w:t>
      </w:r>
    </w:p>
    <w:p>
      <w:pPr>
        <w:spacing w:after="60"/>
      </w:pPr>
      <w:r>
        <w:t>5.1. Товар новый, не бывший в употреблении, не восстановленный, год изготовления — не ранее [2026].</w:t>
      </w:r>
    </w:p>
    <w:p>
      <w:pPr>
        <w:spacing w:after="60"/>
      </w:pPr>
      <w:r>
        <w:t>5.2. С товаром передаются: паспорт, руководство по эксплуатации на русском языке, копия декларации о соответствии ЕАЭС (ТР ТС 010/2011).</w:t>
      </w:r>
    </w:p>
    <w:p>
      <w:pPr>
        <w:spacing w:after="60"/>
      </w:pPr>
      <w:r>
        <w:t>5.3. Для элементов, контактирующих с пищевыми продуктами, — документы, подтверждающие допуск материала к контакту с пищевыми продуктами (если применимо).</w:t>
      </w:r>
    </w:p>
    <w:p>
      <w:pPr>
        <w:spacing w:before="200"/>
      </w:pPr>
      <w:r>
        <w:rPr>
          <w:b/>
        </w:rPr>
        <w:t>6. Условия поставки</w:t>
      </w:r>
    </w:p>
    <w:p>
      <w:pPr>
        <w:spacing w:after="60"/>
      </w:pPr>
      <w:r>
        <w:t>6.1. Место поставки: [адрес].</w:t>
      </w:r>
    </w:p>
    <w:p>
      <w:pPr>
        <w:spacing w:after="60"/>
      </w:pPr>
      <w:r>
        <w:t>6.2. Срок поставки: не позднее [__] рабочих дней с даты заключения контракта (договора).</w:t>
      </w:r>
    </w:p>
    <w:p>
      <w:pPr>
        <w:spacing w:after="60"/>
      </w:pPr>
      <w:r>
        <w:t>6.3. Доставка до места поставки — силами и за счёт поставщика, стоимость доставки включена в цену товара. Разгрузка — [силами заказчика / поставщика].</w:t>
      </w:r>
    </w:p>
    <w:p>
      <w:pPr>
        <w:spacing w:after="60"/>
      </w:pPr>
      <w:r>
        <w:t>6.4. Упаковка обеспечивает сохранность товара при транспортировке и погрузочно-разгрузочных работах.</w:t>
      </w:r>
    </w:p>
    <w:p>
      <w:pPr>
        <w:spacing w:after="60"/>
      </w:pPr>
      <w:r>
        <w:t>6.5. Монтаж и пусконаладка: [не требуются / требуется шеф-монтаж / требуются монтаж и пусконаладка с инструктажем персонала].</w:t>
      </w:r>
    </w:p>
    <w:p>
      <w:pPr>
        <w:spacing w:before="200"/>
      </w:pPr>
      <w:r>
        <w:rPr>
          <w:b/>
        </w:rPr>
        <w:t>7. Приёмка и гарантия</w:t>
      </w:r>
    </w:p>
    <w:p>
      <w:pPr>
        <w:spacing w:after="60"/>
      </w:pPr>
      <w:r>
        <w:t>7.1. Приёмка по количеству, комплектности и качеству — при поставке, с проверкой работоспособности (пробный пуск без нагрузки) в присутствии представителей сторон.</w:t>
      </w:r>
    </w:p>
    <w:p>
      <w:pPr>
        <w:spacing w:after="60"/>
      </w:pPr>
      <w:r>
        <w:t>7.2. Гарантийный срок — не менее [__] месяцев с даты подписания документа о приёмке. Недостатки, выявленные в гарантийный срок, устраняются поставщиком за свой счёт в течение [__] рабочих дней с даты уведомления.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поставку накопительного (поворотного) стола</dc:title>
  <dc:subject/>
  <dc:creator>ТПК «Кронос» — типовой шаблон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